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D1DB" w14:textId="77777777" w:rsidR="00DE228B" w:rsidRDefault="00DE228B" w:rsidP="00DE228B">
      <w:pPr>
        <w:pStyle w:val="Default"/>
      </w:pPr>
      <w:bookmarkStart w:id="0" w:name="_GoBack"/>
      <w:bookmarkEnd w:id="0"/>
    </w:p>
    <w:p w14:paraId="305EA104" w14:textId="77777777" w:rsidR="00D05702" w:rsidRDefault="007B3628" w:rsidP="00DE228B">
      <w:pPr>
        <w:pStyle w:val="Default"/>
        <w:rPr>
          <w:sz w:val="22"/>
          <w:szCs w:val="22"/>
        </w:rPr>
      </w:pPr>
      <w:r>
        <w:rPr>
          <w:color w:val="auto"/>
        </w:rPr>
        <w:t xml:space="preserve">The </w:t>
      </w:r>
      <w:r w:rsidR="003D62C2" w:rsidRPr="00463F97">
        <w:rPr>
          <w:color w:val="auto"/>
        </w:rPr>
        <w:t xml:space="preserve">City of Minneapolis </w:t>
      </w:r>
      <w:r w:rsidR="003D62C2" w:rsidRPr="00463F97">
        <w:rPr>
          <w:color w:val="auto"/>
          <w:sz w:val="22"/>
          <w:szCs w:val="22"/>
        </w:rPr>
        <w:t xml:space="preserve">requires that </w:t>
      </w:r>
      <w:r w:rsidR="00AA521F">
        <w:rPr>
          <w:color w:val="auto"/>
          <w:sz w:val="22"/>
          <w:szCs w:val="22"/>
        </w:rPr>
        <w:t xml:space="preserve">housing providers on </w:t>
      </w:r>
      <w:r w:rsidR="003D62C2" w:rsidRPr="00463F97">
        <w:rPr>
          <w:color w:val="auto"/>
          <w:sz w:val="22"/>
          <w:szCs w:val="22"/>
        </w:rPr>
        <w:t>all City-assisted housing projects accept Housing Choice Vouchers (Section 8)</w:t>
      </w:r>
      <w:r>
        <w:rPr>
          <w:color w:val="auto"/>
          <w:sz w:val="22"/>
          <w:szCs w:val="22"/>
        </w:rPr>
        <w:t xml:space="preserve"> or other rental subsidies</w:t>
      </w:r>
      <w:r w:rsidR="003D62C2" w:rsidRPr="00463F97">
        <w:rPr>
          <w:color w:val="auto"/>
          <w:sz w:val="22"/>
          <w:szCs w:val="22"/>
        </w:rPr>
        <w:t xml:space="preserve"> and comply with affirmative marketing requirements. </w:t>
      </w:r>
      <w:r>
        <w:rPr>
          <w:sz w:val="22"/>
          <w:szCs w:val="22"/>
        </w:rPr>
        <w:t>H</w:t>
      </w:r>
      <w:r w:rsidR="004137A6">
        <w:rPr>
          <w:sz w:val="22"/>
          <w:szCs w:val="22"/>
        </w:rPr>
        <w:t>ousing provider</w:t>
      </w:r>
      <w:r>
        <w:rPr>
          <w:sz w:val="22"/>
          <w:szCs w:val="22"/>
        </w:rPr>
        <w:t>s are required to</w:t>
      </w:r>
      <w:r w:rsidR="004137A6">
        <w:rPr>
          <w:sz w:val="22"/>
          <w:szCs w:val="22"/>
        </w:rPr>
        <w:t xml:space="preserve"> </w:t>
      </w:r>
      <w:r w:rsidR="00DE228B">
        <w:rPr>
          <w:sz w:val="22"/>
          <w:szCs w:val="22"/>
        </w:rPr>
        <w:t xml:space="preserve">carry out an affirmative marketing program to attract prospective buyers or tenants in the housing market area regardless of race, color, </w:t>
      </w:r>
      <w:r w:rsidR="008B5D72">
        <w:rPr>
          <w:sz w:val="22"/>
          <w:szCs w:val="22"/>
        </w:rPr>
        <w:t xml:space="preserve">creed, </w:t>
      </w:r>
      <w:r w:rsidR="00DE228B">
        <w:rPr>
          <w:sz w:val="22"/>
          <w:szCs w:val="22"/>
        </w:rPr>
        <w:t xml:space="preserve">religion, </w:t>
      </w:r>
      <w:r w:rsidR="008B5D72">
        <w:rPr>
          <w:sz w:val="22"/>
          <w:szCs w:val="22"/>
        </w:rPr>
        <w:t xml:space="preserve">ancestry, </w:t>
      </w:r>
      <w:r w:rsidR="00DE228B">
        <w:rPr>
          <w:sz w:val="22"/>
          <w:szCs w:val="22"/>
        </w:rPr>
        <w:t xml:space="preserve">national origin, </w:t>
      </w:r>
      <w:r w:rsidR="008B5D72">
        <w:rPr>
          <w:sz w:val="22"/>
          <w:szCs w:val="22"/>
        </w:rPr>
        <w:t xml:space="preserve">sex, sexual orientation, gender identity, </w:t>
      </w:r>
      <w:r w:rsidR="00DE228B">
        <w:rPr>
          <w:sz w:val="22"/>
          <w:szCs w:val="22"/>
        </w:rPr>
        <w:t xml:space="preserve">disability </w:t>
      </w:r>
      <w:r w:rsidR="008B5D72">
        <w:rPr>
          <w:sz w:val="22"/>
          <w:szCs w:val="22"/>
        </w:rPr>
        <w:t xml:space="preserve">marital status, </w:t>
      </w:r>
      <w:r w:rsidR="00DE228B">
        <w:rPr>
          <w:sz w:val="22"/>
          <w:szCs w:val="22"/>
        </w:rPr>
        <w:t>familial status</w:t>
      </w:r>
      <w:r w:rsidR="008B5D72">
        <w:rPr>
          <w:sz w:val="22"/>
          <w:szCs w:val="22"/>
        </w:rPr>
        <w:t>, or status with regard to public assistance</w:t>
      </w:r>
      <w:r w:rsidR="00DE228B">
        <w:rPr>
          <w:sz w:val="22"/>
          <w:szCs w:val="22"/>
        </w:rPr>
        <w:t>. The plan should detail how the</w:t>
      </w:r>
      <w:r>
        <w:rPr>
          <w:sz w:val="22"/>
          <w:szCs w:val="22"/>
        </w:rPr>
        <w:t xml:space="preserve"> </w:t>
      </w:r>
      <w:r w:rsidR="00DE228B">
        <w:rPr>
          <w:sz w:val="22"/>
          <w:szCs w:val="22"/>
        </w:rPr>
        <w:t xml:space="preserve">housing provider intends to market to, and attract, populations that are least likely to apply to the project. </w:t>
      </w:r>
      <w:r>
        <w:rPr>
          <w:sz w:val="22"/>
          <w:szCs w:val="22"/>
        </w:rPr>
        <w:t xml:space="preserve">The </w:t>
      </w:r>
      <w:r w:rsidR="00355A70">
        <w:rPr>
          <w:sz w:val="22"/>
          <w:szCs w:val="22"/>
        </w:rPr>
        <w:t>City of Minneapolis</w:t>
      </w:r>
      <w:r w:rsidR="00DE228B">
        <w:rPr>
          <w:sz w:val="22"/>
          <w:szCs w:val="22"/>
        </w:rPr>
        <w:t xml:space="preserve"> may review your marketing efforts to ensure it is being carried out in accordance with your AFHMP. </w:t>
      </w:r>
    </w:p>
    <w:p w14:paraId="3953E3DB" w14:textId="77777777" w:rsidR="00D05702" w:rsidRDefault="00D05702" w:rsidP="00DE228B">
      <w:pPr>
        <w:pStyle w:val="Default"/>
        <w:rPr>
          <w:sz w:val="22"/>
          <w:szCs w:val="22"/>
        </w:rPr>
      </w:pPr>
    </w:p>
    <w:p w14:paraId="62591462" w14:textId="77777777" w:rsidR="00E35C2B" w:rsidRDefault="00482264" w:rsidP="00DE228B">
      <w:pPr>
        <w:pStyle w:val="Default"/>
        <w:rPr>
          <w:b/>
          <w:bCs/>
        </w:rPr>
      </w:pPr>
      <w:r w:rsidRPr="00047078">
        <w:rPr>
          <w:b/>
          <w:bCs/>
        </w:rPr>
        <w:t>Required Documentation:</w:t>
      </w:r>
    </w:p>
    <w:p w14:paraId="0E6FECEA" w14:textId="77777777" w:rsidR="00EE199A" w:rsidRPr="00047078" w:rsidRDefault="00EE199A" w:rsidP="00DE228B">
      <w:pPr>
        <w:pStyle w:val="Default"/>
        <w:rPr>
          <w:b/>
          <w:bCs/>
        </w:rPr>
      </w:pPr>
    </w:p>
    <w:p w14:paraId="76E08367" w14:textId="77777777" w:rsidR="00DE228B" w:rsidRPr="00047078" w:rsidRDefault="00047078" w:rsidP="00A00723">
      <w:pPr>
        <w:pStyle w:val="Default"/>
        <w:numPr>
          <w:ilvl w:val="0"/>
          <w:numId w:val="7"/>
        </w:numPr>
        <w:rPr>
          <w:b/>
          <w:bCs/>
          <w:sz w:val="28"/>
          <w:szCs w:val="28"/>
        </w:rPr>
      </w:pPr>
      <w:r w:rsidRPr="00047078">
        <w:rPr>
          <w:b/>
        </w:rPr>
        <w:t>Affirmative Fair Housing Marketing (AFHMP) (Form HUD-935.2A)</w:t>
      </w:r>
    </w:p>
    <w:p w14:paraId="1E1E01AD" w14:textId="77777777" w:rsidR="00482264" w:rsidRDefault="00DE228B" w:rsidP="00DE22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housing providers should complete </w:t>
      </w:r>
      <w:r w:rsidR="00482264">
        <w:rPr>
          <w:sz w:val="22"/>
          <w:szCs w:val="22"/>
        </w:rPr>
        <w:t>Affirmative Fair Housing Marketing (AFHMP) (</w:t>
      </w:r>
      <w:r>
        <w:rPr>
          <w:sz w:val="22"/>
          <w:szCs w:val="22"/>
        </w:rPr>
        <w:t>Form HUD-935.2A</w:t>
      </w:r>
      <w:r w:rsidR="00482264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="00482264">
        <w:rPr>
          <w:sz w:val="22"/>
          <w:szCs w:val="22"/>
        </w:rPr>
        <w:t xml:space="preserve"> A new AFHMP is required at least every five years.  A new AFHMP is required sooner if:</w:t>
      </w:r>
    </w:p>
    <w:p w14:paraId="00331C0C" w14:textId="77777777" w:rsidR="00482264" w:rsidRDefault="00482264" w:rsidP="00E35C2B">
      <w:pPr>
        <w:pStyle w:val="Default"/>
        <w:ind w:left="72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population least likely to apply is different than that on the current AFHMP; </w:t>
      </w:r>
    </w:p>
    <w:p w14:paraId="43C7B5CD" w14:textId="77777777" w:rsidR="00482264" w:rsidRDefault="00482264" w:rsidP="00E35C2B">
      <w:pPr>
        <w:pStyle w:val="Default"/>
        <w:ind w:left="72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advertising publicly cited in the current AFHMP is no longer appropriate; </w:t>
      </w:r>
    </w:p>
    <w:p w14:paraId="5F965137" w14:textId="77777777" w:rsidR="00482264" w:rsidRDefault="00482264" w:rsidP="00E35C2B">
      <w:pPr>
        <w:pStyle w:val="Default"/>
        <w:ind w:left="72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Demographics of the housing market area have changed in terms of race, color, national origin, religion, sex, familial status, or disability; or </w:t>
      </w:r>
    </w:p>
    <w:p w14:paraId="24B687BE" w14:textId="77777777" w:rsidR="00482264" w:rsidRDefault="00482264" w:rsidP="00E35C2B">
      <w:pPr>
        <w:pStyle w:val="Default"/>
        <w:ind w:left="72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outreach currently being performed is not reaching those it is intended to reach as measured by project occupancy and applicant data. </w:t>
      </w:r>
    </w:p>
    <w:p w14:paraId="098258EC" w14:textId="77777777" w:rsidR="00482264" w:rsidRDefault="00482264" w:rsidP="00482264">
      <w:pPr>
        <w:pStyle w:val="Default"/>
        <w:rPr>
          <w:sz w:val="22"/>
          <w:szCs w:val="22"/>
        </w:rPr>
      </w:pPr>
    </w:p>
    <w:p w14:paraId="689A017E" w14:textId="77777777" w:rsidR="00DE228B" w:rsidRDefault="00DE228B" w:rsidP="00047078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When do</w:t>
      </w:r>
      <w:r w:rsidR="00E35C2B">
        <w:rPr>
          <w:b/>
          <w:bCs/>
          <w:sz w:val="22"/>
          <w:szCs w:val="22"/>
        </w:rPr>
        <w:t xml:space="preserve"> housing providers </w:t>
      </w:r>
      <w:r>
        <w:rPr>
          <w:b/>
          <w:bCs/>
          <w:sz w:val="22"/>
          <w:szCs w:val="22"/>
        </w:rPr>
        <w:t xml:space="preserve">need to review the AFHMP? </w:t>
      </w:r>
    </w:p>
    <w:p w14:paraId="77381B9B" w14:textId="77777777" w:rsidR="00DE228B" w:rsidRDefault="00DE228B" w:rsidP="00E35C2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• Review your AFHMP every 1-2 years to ensure it reflects current demographics and is up-to-date on your marketing efforts. </w:t>
      </w:r>
    </w:p>
    <w:p w14:paraId="3E880B89" w14:textId="77777777" w:rsidR="00DE228B" w:rsidRDefault="00DE228B" w:rsidP="00E35C2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• If you review the AFHMP and determine a revision is not needed, maintain a file documenting what was reviewed, results of the review, and why no changes were made. </w:t>
      </w:r>
    </w:p>
    <w:p w14:paraId="042F54EC" w14:textId="77777777" w:rsidR="00DE228B" w:rsidRDefault="00DE228B" w:rsidP="00DE228B">
      <w:pPr>
        <w:pStyle w:val="Default"/>
        <w:rPr>
          <w:sz w:val="22"/>
          <w:szCs w:val="22"/>
        </w:rPr>
      </w:pPr>
    </w:p>
    <w:p w14:paraId="26D9A685" w14:textId="77777777" w:rsidR="00E35C2B" w:rsidRDefault="00E35C2B" w:rsidP="00EE2BA3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When do </w:t>
      </w:r>
      <w:r w:rsidR="00047078">
        <w:rPr>
          <w:b/>
          <w:bCs/>
          <w:sz w:val="22"/>
          <w:szCs w:val="22"/>
        </w:rPr>
        <w:t xml:space="preserve">housing providers </w:t>
      </w:r>
      <w:r>
        <w:rPr>
          <w:b/>
          <w:bCs/>
          <w:sz w:val="22"/>
          <w:szCs w:val="22"/>
        </w:rPr>
        <w:t xml:space="preserve">need to submit a revised AFHMP to City of Minneapolis? </w:t>
      </w:r>
    </w:p>
    <w:p w14:paraId="06D60C6B" w14:textId="77777777" w:rsidR="00E35C2B" w:rsidRDefault="00E35C2B" w:rsidP="00EE2BA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• As requested by City of Minneapolis. City of Minneapolis will typically request your current AFHMP every 2-5 years, but can request a new form to be completed at any time.</w:t>
      </w:r>
    </w:p>
    <w:p w14:paraId="5CA71F04" w14:textId="77777777" w:rsidR="00E02927" w:rsidRDefault="00E02927" w:rsidP="00E35C2B">
      <w:pPr>
        <w:pStyle w:val="Defaul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25DB47F" w14:textId="77777777" w:rsidR="00E35C2B" w:rsidRDefault="00E35C2B" w:rsidP="00E35C2B">
      <w:pPr>
        <w:pStyle w:val="Default"/>
        <w:rPr>
          <w:sz w:val="22"/>
          <w:szCs w:val="22"/>
        </w:rPr>
      </w:pPr>
    </w:p>
    <w:p w14:paraId="2FE23006" w14:textId="77777777" w:rsidR="00047078" w:rsidRPr="00047078" w:rsidRDefault="008B5D72" w:rsidP="00A00723">
      <w:pPr>
        <w:pStyle w:val="Default"/>
        <w:numPr>
          <w:ilvl w:val="0"/>
          <w:numId w:val="7"/>
        </w:numPr>
        <w:rPr>
          <w:b/>
        </w:rPr>
      </w:pPr>
      <w:r>
        <w:rPr>
          <w:b/>
        </w:rPr>
        <w:t>Annual Survey and Certification</w:t>
      </w:r>
      <w:r w:rsidR="00047078" w:rsidRPr="00047078">
        <w:rPr>
          <w:b/>
        </w:rPr>
        <w:t xml:space="preserve"> </w:t>
      </w:r>
    </w:p>
    <w:p w14:paraId="13591F63" w14:textId="77777777" w:rsidR="00482264" w:rsidRDefault="00EE2BA3" w:rsidP="007B36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Housing providers should complete </w:t>
      </w:r>
      <w:r w:rsidR="008B5D72">
        <w:rPr>
          <w:sz w:val="22"/>
          <w:szCs w:val="22"/>
        </w:rPr>
        <w:t xml:space="preserve">an annual survey and certification regarding its AFHMP </w:t>
      </w:r>
      <w:r>
        <w:rPr>
          <w:sz w:val="22"/>
          <w:szCs w:val="22"/>
        </w:rPr>
        <w:t xml:space="preserve">and submit </w:t>
      </w:r>
      <w:r w:rsidR="008B5D72">
        <w:rPr>
          <w:sz w:val="22"/>
          <w:szCs w:val="22"/>
        </w:rPr>
        <w:t xml:space="preserve">it </w:t>
      </w:r>
      <w:r>
        <w:rPr>
          <w:sz w:val="22"/>
          <w:szCs w:val="22"/>
        </w:rPr>
        <w:t xml:space="preserve">to </w:t>
      </w:r>
      <w:r w:rsidR="008B5D72">
        <w:rPr>
          <w:sz w:val="22"/>
          <w:szCs w:val="22"/>
        </w:rPr>
        <w:t xml:space="preserve">the </w:t>
      </w:r>
      <w:r>
        <w:rPr>
          <w:sz w:val="22"/>
          <w:szCs w:val="22"/>
        </w:rPr>
        <w:t>City of Minneapolis</w:t>
      </w:r>
      <w:r w:rsidR="007B3628">
        <w:rPr>
          <w:sz w:val="22"/>
          <w:szCs w:val="22"/>
        </w:rPr>
        <w:t>.</w:t>
      </w:r>
      <w:r w:rsidR="00974048">
        <w:rPr>
          <w:sz w:val="22"/>
          <w:szCs w:val="22"/>
        </w:rPr>
        <w:t xml:space="preserve"> </w:t>
      </w:r>
      <w:r w:rsidR="008B5D72">
        <w:rPr>
          <w:sz w:val="22"/>
          <w:szCs w:val="22"/>
        </w:rPr>
        <w:t xml:space="preserve">The Annual Survey and Certification must respond to all of the following:  </w:t>
      </w:r>
      <w:r w:rsidR="00482264">
        <w:rPr>
          <w:sz w:val="22"/>
          <w:szCs w:val="22"/>
        </w:rPr>
        <w:t xml:space="preserve"> </w:t>
      </w:r>
    </w:p>
    <w:p w14:paraId="5D15DE32" w14:textId="77777777" w:rsidR="00D05702" w:rsidRDefault="00D05702" w:rsidP="00482264">
      <w:pPr>
        <w:pStyle w:val="Default"/>
        <w:rPr>
          <w:sz w:val="22"/>
          <w:szCs w:val="22"/>
        </w:rPr>
      </w:pPr>
    </w:p>
    <w:p w14:paraId="2AFA1E13" w14:textId="77777777" w:rsidR="00D05702" w:rsidRDefault="00D05702" w:rsidP="00482264">
      <w:pPr>
        <w:pStyle w:val="Default"/>
        <w:rPr>
          <w:sz w:val="22"/>
          <w:szCs w:val="22"/>
        </w:rPr>
      </w:pPr>
    </w:p>
    <w:p w14:paraId="586086AF" w14:textId="77777777" w:rsidR="00F050A6" w:rsidRDefault="00F050A6" w:rsidP="00F050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 current </w:t>
      </w:r>
      <w:r w:rsidR="00D05702">
        <w:rPr>
          <w:sz w:val="22"/>
          <w:szCs w:val="22"/>
        </w:rPr>
        <w:t xml:space="preserve">Affirmative Fair Housing Marketing Plan (AFHMP) </w:t>
      </w:r>
      <w:r>
        <w:rPr>
          <w:sz w:val="22"/>
          <w:szCs w:val="22"/>
        </w:rPr>
        <w:t>(Form HUD-935.2A) is required of all City-assisted housing projects.</w:t>
      </w:r>
    </w:p>
    <w:p w14:paraId="0A1BC1DE" w14:textId="77777777" w:rsidR="00F050A6" w:rsidRDefault="00F050A6" w:rsidP="006F0733">
      <w:pPr>
        <w:pStyle w:val="Defaul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What is the date of the </w:t>
      </w:r>
      <w:r w:rsidR="007232CA">
        <w:rPr>
          <w:sz w:val="22"/>
          <w:szCs w:val="22"/>
        </w:rPr>
        <w:t>current</w:t>
      </w:r>
      <w:r>
        <w:rPr>
          <w:sz w:val="22"/>
          <w:szCs w:val="22"/>
        </w:rPr>
        <w:t xml:space="preserve"> AFHMP on file?</w:t>
      </w:r>
    </w:p>
    <w:p w14:paraId="65E91067" w14:textId="77777777" w:rsidR="00F050A6" w:rsidRDefault="006F0733" w:rsidP="006F0733">
      <w:pPr>
        <w:pStyle w:val="Defaul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Which public agency reviewed the </w:t>
      </w:r>
      <w:r w:rsidR="007232CA">
        <w:rPr>
          <w:sz w:val="22"/>
          <w:szCs w:val="22"/>
        </w:rPr>
        <w:t xml:space="preserve">current </w:t>
      </w:r>
      <w:r>
        <w:rPr>
          <w:sz w:val="22"/>
          <w:szCs w:val="22"/>
        </w:rPr>
        <w:t>AFHMP?</w:t>
      </w:r>
    </w:p>
    <w:p w14:paraId="39272672" w14:textId="77777777" w:rsidR="006F0733" w:rsidRDefault="006F0733" w:rsidP="006F073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Does your site office / web site have the Equal Opportunity logo and statement posted?</w:t>
      </w:r>
    </w:p>
    <w:p w14:paraId="2DFAB3E3" w14:textId="77777777" w:rsidR="006F0733" w:rsidRDefault="007232CA" w:rsidP="006F073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How many </w:t>
      </w:r>
      <w:r w:rsidR="006F0733">
        <w:rPr>
          <w:sz w:val="22"/>
          <w:szCs w:val="22"/>
        </w:rPr>
        <w:t>units are currently vacant or have given notice to vacate?</w:t>
      </w:r>
    </w:p>
    <w:p w14:paraId="05D3E874" w14:textId="77777777" w:rsidR="006F0733" w:rsidRDefault="006F0733" w:rsidP="006F073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How are vacant units advertised?</w:t>
      </w:r>
    </w:p>
    <w:p w14:paraId="2D896D94" w14:textId="77777777" w:rsidR="006F0733" w:rsidRDefault="006F0733" w:rsidP="006F073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Are Section 8 caseworkers or </w:t>
      </w:r>
      <w:r w:rsidR="007B3628">
        <w:rPr>
          <w:sz w:val="22"/>
          <w:szCs w:val="22"/>
        </w:rPr>
        <w:t xml:space="preserve">Minneapolis </w:t>
      </w:r>
      <w:r>
        <w:rPr>
          <w:sz w:val="22"/>
          <w:szCs w:val="22"/>
        </w:rPr>
        <w:t>PHA notified of vacancies?</w:t>
      </w:r>
    </w:p>
    <w:p w14:paraId="0C3D8C87" w14:textId="77777777" w:rsidR="006F0733" w:rsidRDefault="006F0733" w:rsidP="006F073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In the last year, have any applicants for units been rejected?</w:t>
      </w:r>
    </w:p>
    <w:p w14:paraId="3044CEA4" w14:textId="77777777" w:rsidR="006F4868" w:rsidRDefault="006F4868" w:rsidP="006F4868">
      <w:pPr>
        <w:pStyle w:val="Default"/>
        <w:numPr>
          <w:ilvl w:val="1"/>
          <w:numId w:val="6"/>
        </w:numPr>
        <w:rPr>
          <w:sz w:val="22"/>
          <w:szCs w:val="22"/>
        </w:rPr>
      </w:pPr>
      <w:r w:rsidRPr="006F4868">
        <w:rPr>
          <w:sz w:val="22"/>
          <w:szCs w:val="22"/>
        </w:rPr>
        <w:t xml:space="preserve">If yes, </w:t>
      </w:r>
      <w:r>
        <w:rPr>
          <w:sz w:val="22"/>
          <w:szCs w:val="22"/>
        </w:rPr>
        <w:t>please provide reasons for rejection.</w:t>
      </w:r>
    </w:p>
    <w:p w14:paraId="5AB83AE0" w14:textId="77777777" w:rsidR="00F050A6" w:rsidRDefault="00A776D6" w:rsidP="006F4868">
      <w:pPr>
        <w:pStyle w:val="Defaul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Did any rejected applicants have </w:t>
      </w:r>
      <w:r w:rsidR="006F4868" w:rsidRPr="006F4868">
        <w:rPr>
          <w:sz w:val="22"/>
          <w:szCs w:val="22"/>
        </w:rPr>
        <w:t>Housing Choice Voucher</w:t>
      </w:r>
      <w:r w:rsidR="00902BE0">
        <w:rPr>
          <w:sz w:val="22"/>
          <w:szCs w:val="22"/>
        </w:rPr>
        <w:t>s</w:t>
      </w:r>
      <w:r w:rsidR="006F4868" w:rsidRPr="006F4868">
        <w:rPr>
          <w:sz w:val="22"/>
          <w:szCs w:val="22"/>
        </w:rPr>
        <w:t xml:space="preserve"> (Section 8)</w:t>
      </w:r>
      <w:r w:rsidR="007B3628">
        <w:rPr>
          <w:sz w:val="22"/>
          <w:szCs w:val="22"/>
        </w:rPr>
        <w:t xml:space="preserve"> or other rental subsidy sources of income</w:t>
      </w:r>
      <w:r w:rsidR="006F4868" w:rsidRPr="006F4868">
        <w:rPr>
          <w:sz w:val="22"/>
          <w:szCs w:val="22"/>
        </w:rPr>
        <w:t>?</w:t>
      </w:r>
    </w:p>
    <w:p w14:paraId="68B78049" w14:textId="77777777" w:rsidR="006F4868" w:rsidRDefault="006F4868" w:rsidP="007232CA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In the last year, have any residents been evicted?</w:t>
      </w:r>
    </w:p>
    <w:p w14:paraId="62C15359" w14:textId="77777777" w:rsidR="006F4868" w:rsidRPr="006F4868" w:rsidRDefault="006F4868" w:rsidP="006F4868">
      <w:pPr>
        <w:pStyle w:val="Defaul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="007232CA">
        <w:rPr>
          <w:sz w:val="22"/>
          <w:szCs w:val="22"/>
        </w:rPr>
        <w:t>provide list of evicted households including building and unit number and reasons for eviction.</w:t>
      </w:r>
    </w:p>
    <w:p w14:paraId="2DA76D93" w14:textId="77777777" w:rsidR="00D05702" w:rsidRPr="00F050A6" w:rsidRDefault="00D05702" w:rsidP="00F050A6">
      <w:pPr>
        <w:pStyle w:val="Default"/>
        <w:rPr>
          <w:sz w:val="22"/>
          <w:szCs w:val="22"/>
        </w:rPr>
      </w:pPr>
      <w:r w:rsidRPr="00F050A6">
        <w:rPr>
          <w:sz w:val="22"/>
          <w:szCs w:val="22"/>
        </w:rPr>
        <w:t xml:space="preserve"> </w:t>
      </w:r>
    </w:p>
    <w:p w14:paraId="0B237DFE" w14:textId="77777777" w:rsidR="00D05702" w:rsidRDefault="007232CA" w:rsidP="00DE22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Project Name:</w:t>
      </w:r>
    </w:p>
    <w:p w14:paraId="6BA527BA" w14:textId="77777777" w:rsidR="007232CA" w:rsidRDefault="007232CA" w:rsidP="00DE22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Project Address:</w:t>
      </w:r>
    </w:p>
    <w:p w14:paraId="39F1FC16" w14:textId="77777777" w:rsidR="007232CA" w:rsidRDefault="007232CA" w:rsidP="00DE228B">
      <w:pPr>
        <w:pStyle w:val="Default"/>
        <w:rPr>
          <w:sz w:val="22"/>
          <w:szCs w:val="22"/>
        </w:rPr>
      </w:pPr>
    </w:p>
    <w:p w14:paraId="1360B907" w14:textId="77777777" w:rsidR="007232CA" w:rsidRDefault="007232CA" w:rsidP="00DE22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Owner Name:</w:t>
      </w:r>
    </w:p>
    <w:p w14:paraId="00A6FDA4" w14:textId="77777777" w:rsidR="007232CA" w:rsidRDefault="007232CA" w:rsidP="00DE22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Owner Address:</w:t>
      </w:r>
    </w:p>
    <w:p w14:paraId="215D239E" w14:textId="77777777" w:rsidR="007232CA" w:rsidRDefault="007232CA" w:rsidP="00DE228B">
      <w:pPr>
        <w:pStyle w:val="Default"/>
        <w:rPr>
          <w:sz w:val="22"/>
          <w:szCs w:val="22"/>
        </w:rPr>
      </w:pPr>
    </w:p>
    <w:p w14:paraId="0D2C303B" w14:textId="77777777" w:rsidR="007232CA" w:rsidRDefault="007232CA" w:rsidP="00DE228B">
      <w:pPr>
        <w:pStyle w:val="Default"/>
        <w:rPr>
          <w:sz w:val="22"/>
          <w:szCs w:val="22"/>
        </w:rPr>
      </w:pPr>
    </w:p>
    <w:p w14:paraId="7342FF84" w14:textId="77777777" w:rsidR="007232CA" w:rsidRDefault="007232CA" w:rsidP="00DE22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Signature of Owner or its Agent / Representative: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</w:p>
    <w:p w14:paraId="6C51565C" w14:textId="77777777" w:rsidR="007232CA" w:rsidRDefault="007232CA" w:rsidP="00DE22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Printed name and Title:</w:t>
      </w:r>
    </w:p>
    <w:p w14:paraId="076B0322" w14:textId="77777777" w:rsidR="00D05702" w:rsidRDefault="00D05702" w:rsidP="00DE228B">
      <w:pPr>
        <w:pStyle w:val="Default"/>
        <w:rPr>
          <w:sz w:val="22"/>
          <w:szCs w:val="22"/>
        </w:rPr>
      </w:pPr>
    </w:p>
    <w:p w14:paraId="2F63DEA2" w14:textId="77777777" w:rsidR="00DE228B" w:rsidRDefault="00DE228B" w:rsidP="00DE22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560B7EF" w14:textId="77777777" w:rsidR="007103B9" w:rsidRDefault="007103B9"/>
    <w:sectPr w:rsidR="007103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1EEF" w14:textId="77777777" w:rsidR="00157B10" w:rsidRDefault="00157B10" w:rsidP="007103B9">
      <w:pPr>
        <w:spacing w:after="0" w:line="240" w:lineRule="auto"/>
      </w:pPr>
      <w:r>
        <w:separator/>
      </w:r>
    </w:p>
  </w:endnote>
  <w:endnote w:type="continuationSeparator" w:id="0">
    <w:p w14:paraId="6577700D" w14:textId="77777777" w:rsidR="00157B10" w:rsidRDefault="00157B10" w:rsidP="0071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B448" w14:textId="77777777" w:rsidR="00157B10" w:rsidRDefault="00157B10" w:rsidP="007103B9">
      <w:pPr>
        <w:spacing w:after="0" w:line="240" w:lineRule="auto"/>
      </w:pPr>
      <w:r>
        <w:separator/>
      </w:r>
    </w:p>
  </w:footnote>
  <w:footnote w:type="continuationSeparator" w:id="0">
    <w:p w14:paraId="591113F0" w14:textId="77777777" w:rsidR="00157B10" w:rsidRDefault="00157B10" w:rsidP="0071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55A5B" w14:textId="77777777" w:rsidR="007103B9" w:rsidRPr="007103B9" w:rsidRDefault="007103B9" w:rsidP="007103B9">
    <w:pPr>
      <w:pStyle w:val="Header"/>
      <w:rPr>
        <w:sz w:val="24"/>
        <w:szCs w:val="24"/>
      </w:rPr>
    </w:pPr>
    <w:r w:rsidRPr="007103B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BDE17" wp14:editId="3884047A">
              <wp:simplePos x="0" y="0"/>
              <wp:positionH relativeFrom="column">
                <wp:posOffset>1409700</wp:posOffset>
              </wp:positionH>
              <wp:positionV relativeFrom="paragraph">
                <wp:posOffset>333375</wp:posOffset>
              </wp:positionV>
              <wp:extent cx="4657725" cy="1403985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0E1F2" w14:textId="77777777" w:rsidR="007103B9" w:rsidRPr="007103B9" w:rsidRDefault="007103B9" w:rsidP="007103B9">
                          <w:pPr>
                            <w:ind w:right="-165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103B9">
                            <w:rPr>
                              <w:b/>
                              <w:sz w:val="28"/>
                              <w:szCs w:val="28"/>
                            </w:rPr>
                            <w:t>Affirmative Fair Housing Marketing Plan</w:t>
                          </w:r>
                          <w:r w:rsidR="008B5D72">
                            <w:rPr>
                              <w:b/>
                              <w:sz w:val="28"/>
                              <w:szCs w:val="28"/>
                            </w:rPr>
                            <w:t xml:space="preserve"> Requirements</w:t>
                          </w:r>
                          <w:r w:rsidRPr="007103B9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FBDE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pt;margin-top:26.25pt;width:3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" stroked="f">
              <v:textbox style="mso-fit-shape-to-text:t">
                <w:txbxContent>
                  <w:p w14:paraId="1030E1F2" w14:textId="77777777" w:rsidR="007103B9" w:rsidRPr="007103B9" w:rsidRDefault="007103B9" w:rsidP="007103B9">
                    <w:pPr>
                      <w:ind w:right="-165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7103B9">
                      <w:rPr>
                        <w:b/>
                        <w:sz w:val="28"/>
                        <w:szCs w:val="28"/>
                      </w:rPr>
                      <w:t>Affirmative Fair Housing Marketing Plan</w:t>
                    </w:r>
                    <w:r w:rsidR="008B5D72">
                      <w:rPr>
                        <w:b/>
                        <w:sz w:val="28"/>
                        <w:szCs w:val="28"/>
                      </w:rPr>
                      <w:t xml:space="preserve"> Requirements</w:t>
                    </w:r>
                    <w:r w:rsidRPr="007103B9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BAC9A5B" wp14:editId="67AA6D52">
          <wp:extent cx="1406884" cy="91440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neapolis CPED 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05"/>
                  <a:stretch/>
                </pic:blipFill>
                <pic:spPr bwMode="auto">
                  <a:xfrm>
                    <a:off x="0" y="0"/>
                    <a:ext cx="1406884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980E61" w14:textId="77777777" w:rsidR="007103B9" w:rsidRDefault="00710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4302"/>
    <w:multiLevelType w:val="hybridMultilevel"/>
    <w:tmpl w:val="DD02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4081"/>
    <w:multiLevelType w:val="hybridMultilevel"/>
    <w:tmpl w:val="A65A5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E2654"/>
    <w:multiLevelType w:val="hybridMultilevel"/>
    <w:tmpl w:val="44CE0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645C1"/>
    <w:multiLevelType w:val="hybridMultilevel"/>
    <w:tmpl w:val="733C4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11108"/>
    <w:multiLevelType w:val="hybridMultilevel"/>
    <w:tmpl w:val="4A96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0E43"/>
    <w:multiLevelType w:val="hybridMultilevel"/>
    <w:tmpl w:val="5790C5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4B2F53"/>
    <w:multiLevelType w:val="hybridMultilevel"/>
    <w:tmpl w:val="70A257C4"/>
    <w:lvl w:ilvl="0" w:tplc="B11025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B9"/>
    <w:rsid w:val="00047078"/>
    <w:rsid w:val="000A39FE"/>
    <w:rsid w:val="000F2B81"/>
    <w:rsid w:val="00157B10"/>
    <w:rsid w:val="00355A70"/>
    <w:rsid w:val="003D62C2"/>
    <w:rsid w:val="004137A6"/>
    <w:rsid w:val="00482264"/>
    <w:rsid w:val="005F7BD6"/>
    <w:rsid w:val="006F0733"/>
    <w:rsid w:val="006F4868"/>
    <w:rsid w:val="007103B9"/>
    <w:rsid w:val="007232CA"/>
    <w:rsid w:val="00796E87"/>
    <w:rsid w:val="007B3628"/>
    <w:rsid w:val="008B5D72"/>
    <w:rsid w:val="00902BE0"/>
    <w:rsid w:val="00974048"/>
    <w:rsid w:val="009C2741"/>
    <w:rsid w:val="00A00723"/>
    <w:rsid w:val="00A776D6"/>
    <w:rsid w:val="00AA521F"/>
    <w:rsid w:val="00BA1756"/>
    <w:rsid w:val="00BA356F"/>
    <w:rsid w:val="00BB40CA"/>
    <w:rsid w:val="00D05702"/>
    <w:rsid w:val="00D21CE4"/>
    <w:rsid w:val="00DE023A"/>
    <w:rsid w:val="00DE228B"/>
    <w:rsid w:val="00E02927"/>
    <w:rsid w:val="00E35C2B"/>
    <w:rsid w:val="00E72735"/>
    <w:rsid w:val="00EE199A"/>
    <w:rsid w:val="00EE2BA3"/>
    <w:rsid w:val="00F0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60B0C"/>
  <w15:docId w15:val="{9292BAD9-2E16-4056-80F5-ABAE03E5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B9"/>
  </w:style>
  <w:style w:type="paragraph" w:styleId="Footer">
    <w:name w:val="footer"/>
    <w:basedOn w:val="Normal"/>
    <w:link w:val="FooterChar"/>
    <w:uiPriority w:val="99"/>
    <w:unhideWhenUsed/>
    <w:rsid w:val="0071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B9"/>
  </w:style>
  <w:style w:type="paragraph" w:styleId="BalloonText">
    <w:name w:val="Balloon Text"/>
    <w:basedOn w:val="Normal"/>
    <w:link w:val="BalloonTextChar"/>
    <w:uiPriority w:val="99"/>
    <w:semiHidden/>
    <w:unhideWhenUsed/>
    <w:rsid w:val="0071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22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2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73AFB-6DB3-483F-83D6-EB142BEE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Ehrenberg, Scott A.</dc:creator>
  <cp:lastModifiedBy>Stacken, Kelly M</cp:lastModifiedBy>
  <cp:revision>2</cp:revision>
  <cp:lastPrinted>2017-07-03T17:46:00Z</cp:lastPrinted>
  <dcterms:created xsi:type="dcterms:W3CDTF">2021-03-02T22:10:00Z</dcterms:created>
  <dcterms:modified xsi:type="dcterms:W3CDTF">2021-03-02T22:10:00Z</dcterms:modified>
</cp:coreProperties>
</file>